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91C2E2" w14:textId="76A066B4" w:rsidR="00961A52" w:rsidRDefault="00170E4B" w:rsidP="0012311E">
      <w:pPr>
        <w:jc w:val="center"/>
      </w:pPr>
      <w:r>
        <w:rPr>
          <w:noProof/>
        </w:rPr>
        <w:drawing>
          <wp:inline distT="0" distB="0" distL="0" distR="0" wp14:anchorId="3163443F" wp14:editId="483DEC71">
            <wp:extent cx="1819275" cy="18669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w Bitmap Image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19275" cy="1866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1AD234" w14:textId="77777777" w:rsidR="0012311E" w:rsidRPr="00302ADC" w:rsidRDefault="0012311E" w:rsidP="0012311E">
      <w:pPr>
        <w:jc w:val="center"/>
        <w:rPr>
          <w:b/>
          <w:sz w:val="28"/>
          <w:szCs w:val="28"/>
        </w:rPr>
      </w:pPr>
      <w:r>
        <w:rPr>
          <w:b/>
          <w:sz w:val="28"/>
        </w:rPr>
        <w:t>Брошура для нових працівників</w:t>
      </w:r>
    </w:p>
    <w:p w14:paraId="0CFEEEF5" w14:textId="77777777" w:rsidR="0012311E" w:rsidRPr="00302ADC" w:rsidRDefault="0012311E" w:rsidP="0012311E">
      <w:pPr>
        <w:jc w:val="center"/>
        <w:rPr>
          <w:sz w:val="28"/>
          <w:szCs w:val="28"/>
        </w:rPr>
      </w:pPr>
    </w:p>
    <w:p w14:paraId="2B21ED38" w14:textId="77777777" w:rsidR="0012311E" w:rsidRPr="00302ADC" w:rsidRDefault="0012311E" w:rsidP="0012311E">
      <w:pPr>
        <w:jc w:val="center"/>
        <w:rPr>
          <w:sz w:val="32"/>
          <w:szCs w:val="32"/>
        </w:rPr>
      </w:pPr>
      <w:bookmarkStart w:id="0" w:name="bookmark36"/>
      <w:r>
        <w:rPr>
          <w:b/>
          <w:sz w:val="32"/>
        </w:rPr>
        <w:t>Повідомлення про порушення в DaVita</w:t>
      </w:r>
      <w:bookmarkEnd w:id="0"/>
    </w:p>
    <w:p w14:paraId="53AFEDDC" w14:textId="77777777" w:rsidR="0012311E" w:rsidRDefault="0012311E" w:rsidP="0012311E">
      <w:pPr>
        <w:jc w:val="left"/>
      </w:pPr>
      <w:r>
        <w:br w:type="page"/>
      </w:r>
    </w:p>
    <w:p w14:paraId="1F44F87A" w14:textId="77777777" w:rsidR="0012311E" w:rsidRPr="002A5A00" w:rsidRDefault="0012311E" w:rsidP="0012311E">
      <w:pPr>
        <w:jc w:val="center"/>
        <w:rPr>
          <w:sz w:val="24"/>
          <w:szCs w:val="24"/>
        </w:rPr>
      </w:pPr>
      <w:bookmarkStart w:id="1" w:name="bookmark37"/>
      <w:r>
        <w:rPr>
          <w:b/>
          <w:sz w:val="24"/>
        </w:rPr>
        <w:lastRenderedPageBreak/>
        <w:t>Ваш обов'язок повідомляти про порушення</w:t>
      </w:r>
      <w:bookmarkEnd w:id="1"/>
    </w:p>
    <w:p w14:paraId="33FD14D9" w14:textId="77777777" w:rsidR="0012311E" w:rsidRPr="002A5A00" w:rsidRDefault="0012311E" w:rsidP="0012311E">
      <w:pPr>
        <w:jc w:val="center"/>
        <w:rPr>
          <w:bCs/>
        </w:rPr>
      </w:pPr>
      <w:r>
        <w:t>Основна відповідальність кожного члена команди полягає в тому, щоб забезпечити найвищий рівень довіри та відповідальності, звітуючи про будь-які підозрювані чи фактичні порушення Кодексу поведінки, внутрішніх політик і процедур або чинного законодавства.</w:t>
      </w:r>
    </w:p>
    <w:p w14:paraId="0F1588F9" w14:textId="77777777" w:rsidR="0012311E" w:rsidRDefault="0012311E" w:rsidP="0012311E">
      <w:pPr>
        <w:ind w:left="567" w:hanging="567"/>
        <w:jc w:val="left"/>
      </w:pPr>
      <w:r>
        <w:t>□</w:t>
      </w:r>
      <w:r>
        <w:tab/>
      </w:r>
      <w:r>
        <w:rPr>
          <w:b/>
          <w:bCs/>
        </w:rPr>
        <w:t>Ваші права</w:t>
      </w:r>
    </w:p>
    <w:p w14:paraId="48347E84" w14:textId="77777777" w:rsidR="0012311E" w:rsidRDefault="0012311E" w:rsidP="0012311E">
      <w:pPr>
        <w:pStyle w:val="Akapitzlist"/>
        <w:numPr>
          <w:ilvl w:val="0"/>
          <w:numId w:val="1"/>
        </w:numPr>
        <w:ind w:left="1134" w:hanging="567"/>
        <w:jc w:val="left"/>
      </w:pPr>
      <w:r>
        <w:t>Ви можете повідомляти анонімно. Проте ми рекомендуємо надавати свої контактні дані, оскільки ми матимемо змогу задавати запитання під час внутрішнього розгляду. А також ми зможемо повідомити вам про його результат.</w:t>
      </w:r>
    </w:p>
    <w:p w14:paraId="20E6616D" w14:textId="77777777" w:rsidR="0012311E" w:rsidRDefault="0012311E" w:rsidP="0012311E">
      <w:pPr>
        <w:pStyle w:val="Akapitzlist"/>
        <w:numPr>
          <w:ilvl w:val="0"/>
          <w:numId w:val="1"/>
        </w:numPr>
        <w:ind w:left="1134" w:hanging="567"/>
        <w:jc w:val="left"/>
      </w:pPr>
      <w:r>
        <w:t>Ви захищені політикою заборони провадження дій у відповідь.</w:t>
      </w:r>
    </w:p>
    <w:p w14:paraId="41345369" w14:textId="77777777" w:rsidR="0012311E" w:rsidRDefault="0012311E" w:rsidP="0012311E">
      <w:pPr>
        <w:ind w:left="567" w:hanging="567"/>
        <w:jc w:val="left"/>
      </w:pPr>
      <w:r>
        <w:t>□</w:t>
      </w:r>
      <w:r>
        <w:tab/>
      </w:r>
      <w:r>
        <w:rPr>
          <w:b/>
          <w:bCs/>
        </w:rPr>
        <w:t>Ваші обов'язки</w:t>
      </w:r>
    </w:p>
    <w:p w14:paraId="0F70C18F" w14:textId="77777777" w:rsidR="0012311E" w:rsidRDefault="0012311E" w:rsidP="0012311E">
      <w:pPr>
        <w:pStyle w:val="Akapitzlist"/>
        <w:numPr>
          <w:ilvl w:val="0"/>
          <w:numId w:val="2"/>
        </w:numPr>
        <w:ind w:left="1134" w:hanging="567"/>
        <w:jc w:val="left"/>
      </w:pPr>
      <w:r>
        <w:t>Повідомляйте про порушення «добросовісно», тобто правдиво та ненавмисно. На основі обґрунтованого переконання, що порушення відбулося або могло статися</w:t>
      </w:r>
    </w:p>
    <w:p w14:paraId="73BE3954" w14:textId="77777777" w:rsidR="0012311E" w:rsidRDefault="0012311E" w:rsidP="0012311E">
      <w:pPr>
        <w:pStyle w:val="Akapitzlist"/>
        <w:numPr>
          <w:ilvl w:val="0"/>
          <w:numId w:val="2"/>
        </w:numPr>
        <w:ind w:left="1134" w:hanging="567"/>
        <w:jc w:val="left"/>
      </w:pPr>
      <w:r>
        <w:t xml:space="preserve">Надайте всю інформацію та/або докази, які ви маєте щодо потенційного чи фактичного порушення. </w:t>
      </w:r>
      <w:r>
        <w:rPr>
          <w:b/>
        </w:rPr>
        <w:t xml:space="preserve">Слід пам'ятати! </w:t>
      </w:r>
      <w:r>
        <w:t>Вам не потрібно мати переконливі докази того, що порушення відбулося. Все, що вам потрібно зробити, це повідомити нам про це, і незалежна команда проведе відповідне внутрішнє розслідування та збере необхідні докази.</w:t>
      </w:r>
    </w:p>
    <w:p w14:paraId="63AA3610" w14:textId="77777777" w:rsidR="0012311E" w:rsidRDefault="0012311E" w:rsidP="0012311E">
      <w:pPr>
        <w:pStyle w:val="Akapitzlist"/>
        <w:numPr>
          <w:ilvl w:val="0"/>
          <w:numId w:val="2"/>
        </w:numPr>
        <w:ind w:left="1134" w:hanging="567"/>
        <w:jc w:val="left"/>
      </w:pPr>
      <w:r>
        <w:t>Зберігайте інформацію про повідомлене порушення та незавершене внутрішнє розслідування при собі.</w:t>
      </w:r>
    </w:p>
    <w:p w14:paraId="13E8E90B" w14:textId="77777777" w:rsidR="0012311E" w:rsidRDefault="0012311E" w:rsidP="0012311E">
      <w:pPr>
        <w:ind w:left="360"/>
        <w:jc w:val="left"/>
      </w:pPr>
      <w:r>
        <w:br w:type="page"/>
      </w:r>
    </w:p>
    <w:p w14:paraId="69410DAE" w14:textId="750D86CE" w:rsidR="0012311E" w:rsidRPr="002A5A00" w:rsidRDefault="0012311E" w:rsidP="0012311E">
      <w:pPr>
        <w:rPr>
          <w:b/>
          <w:sz w:val="28"/>
          <w:szCs w:val="28"/>
        </w:rPr>
      </w:pPr>
      <w:bookmarkStart w:id="2" w:name="bookmark38"/>
      <w:r>
        <w:rPr>
          <w:b/>
          <w:sz w:val="28"/>
        </w:rPr>
        <w:lastRenderedPageBreak/>
        <w:t>Кому і як повідомляти про порушення</w:t>
      </w:r>
      <w:bookmarkEnd w:id="2"/>
    </w:p>
    <w:p w14:paraId="22F98313" w14:textId="77777777" w:rsidR="002A5A00" w:rsidRPr="00735B36" w:rsidRDefault="002A5A00" w:rsidP="0012311E">
      <w:pPr>
        <w:jc w:val="left"/>
        <w:rPr>
          <w:sz w:val="24"/>
          <w:szCs w:val="24"/>
        </w:rPr>
      </w:pPr>
    </w:p>
    <w:p w14:paraId="7FB6BF5F" w14:textId="77777777" w:rsidR="0012311E" w:rsidRDefault="0012311E" w:rsidP="0012311E">
      <w:pPr>
        <w:jc w:val="left"/>
        <w:rPr>
          <w:b/>
        </w:rPr>
      </w:pPr>
      <w:bookmarkStart w:id="3" w:name="bookmark39"/>
      <w:r>
        <w:rPr>
          <w:b/>
        </w:rPr>
        <w:t>Якщо ви помітили порушення, повідомте про це письмово або усно:</w:t>
      </w:r>
      <w:bookmarkEnd w:id="3"/>
    </w:p>
    <w:p w14:paraId="20D8A6AF" w14:textId="77777777" w:rsidR="0012311E" w:rsidRDefault="0012311E" w:rsidP="0012311E">
      <w:pPr>
        <w:jc w:val="left"/>
      </w:pPr>
    </w:p>
    <w:p w14:paraId="327F5520" w14:textId="77777777" w:rsidR="0012311E" w:rsidRDefault="0012311E" w:rsidP="0012311E">
      <w:pPr>
        <w:jc w:val="left"/>
      </w:pPr>
      <w:r>
        <w:rPr>
          <w:b/>
        </w:rPr>
        <w:t>Безпосередньому керівникові</w:t>
      </w:r>
    </w:p>
    <w:p w14:paraId="59F18663" w14:textId="501A160D" w:rsidR="0012311E" w:rsidRDefault="0012311E" w:rsidP="0012311E">
      <w:pPr>
        <w:jc w:val="left"/>
        <w:rPr>
          <w:b/>
        </w:rPr>
      </w:pPr>
      <w:r>
        <w:rPr>
          <w:b/>
        </w:rPr>
        <w:t>Керівництву DaVita (Правління, відділ PS, Відділ комплаєнс, Юридичний відділ)</w:t>
      </w:r>
    </w:p>
    <w:p w14:paraId="39A43048" w14:textId="77777777" w:rsidR="00F11DF2" w:rsidRPr="00153C84" w:rsidRDefault="00F11DF2" w:rsidP="00F11DF2">
      <w:pPr>
        <w:jc w:val="left"/>
        <w:rPr>
          <w:b/>
          <w:bCs/>
          <w:lang w:val="ru-RU"/>
        </w:rPr>
      </w:pPr>
      <w:r w:rsidRPr="00153C84">
        <w:rPr>
          <w:b/>
          <w:bCs/>
          <w:lang w:val="ru-RU"/>
        </w:rPr>
        <w:t xml:space="preserve">На гарячу лінію комплаєнс (тел.: 00 800 151 0027 або </w:t>
      </w:r>
      <w:r w:rsidRPr="00153C84">
        <w:rPr>
          <w:b/>
          <w:bCs/>
          <w:lang w:val="pl-PL"/>
        </w:rPr>
        <w:t>www</w:t>
      </w:r>
      <w:r w:rsidRPr="00153C84">
        <w:rPr>
          <w:b/>
          <w:bCs/>
          <w:lang w:val="ru-RU"/>
        </w:rPr>
        <w:t>.</w:t>
      </w:r>
      <w:proofErr w:type="spellStart"/>
      <w:r w:rsidRPr="00153C84">
        <w:rPr>
          <w:b/>
          <w:bCs/>
          <w:lang w:val="pl-PL"/>
        </w:rPr>
        <w:t>davita</w:t>
      </w:r>
      <w:proofErr w:type="spellEnd"/>
      <w:r w:rsidRPr="00153C84">
        <w:rPr>
          <w:b/>
          <w:bCs/>
          <w:lang w:val="ru-RU"/>
        </w:rPr>
        <w:t>.</w:t>
      </w:r>
      <w:proofErr w:type="spellStart"/>
      <w:r w:rsidRPr="00153C84">
        <w:rPr>
          <w:b/>
          <w:bCs/>
          <w:lang w:val="pl-PL"/>
        </w:rPr>
        <w:t>ethicspoint</w:t>
      </w:r>
      <w:proofErr w:type="spellEnd"/>
      <w:r w:rsidRPr="00153C84">
        <w:rPr>
          <w:b/>
          <w:bCs/>
          <w:lang w:val="ru-RU"/>
        </w:rPr>
        <w:t>.</w:t>
      </w:r>
      <w:r w:rsidRPr="00153C84">
        <w:rPr>
          <w:b/>
          <w:bCs/>
          <w:lang w:val="pl-PL"/>
        </w:rPr>
        <w:t>com</w:t>
      </w:r>
      <w:r w:rsidRPr="00153C84">
        <w:rPr>
          <w:b/>
          <w:bCs/>
          <w:lang w:val="ru-RU"/>
        </w:rPr>
        <w:t>)</w:t>
      </w:r>
    </w:p>
    <w:p w14:paraId="21BD7509" w14:textId="77777777" w:rsidR="0012311E" w:rsidRDefault="0012311E" w:rsidP="0012311E">
      <w:pPr>
        <w:jc w:val="left"/>
      </w:pPr>
      <w:r>
        <w:rPr>
          <w:b/>
        </w:rPr>
        <w:t>На гарячу лінію персональних питань (тел.: + 48 71 747 27 59)</w:t>
      </w:r>
    </w:p>
    <w:p w14:paraId="675C1F8E" w14:textId="2093AC49" w:rsidR="0012311E" w:rsidRPr="00A23D5E" w:rsidRDefault="0012311E" w:rsidP="0012311E">
      <w:pPr>
        <w:jc w:val="left"/>
        <w:rPr>
          <w:b/>
        </w:rPr>
      </w:pPr>
      <w:r>
        <w:rPr>
          <w:b/>
        </w:rPr>
        <w:t xml:space="preserve">Директору з комплаєнс (порушення щодо Директиви ЄС про захист викривачів, тел.: +48 728 414 245, е-пошта: </w:t>
      </w:r>
      <w:hyperlink r:id="rId8">
        <w:r>
          <w:rPr>
            <w:rStyle w:val="Hipercze"/>
          </w:rPr>
          <w:t>DyrektywaEU.naruszenia@davita.pl</w:t>
        </w:r>
      </w:hyperlink>
      <w:r>
        <w:rPr>
          <w:b/>
        </w:rPr>
        <w:t>)</w:t>
      </w:r>
    </w:p>
    <w:p w14:paraId="54337223" w14:textId="77777777" w:rsidR="0012311E" w:rsidRPr="00A23D5E" w:rsidRDefault="0012311E" w:rsidP="0012311E">
      <w:pPr>
        <w:jc w:val="left"/>
        <w:rPr>
          <w:b/>
        </w:rPr>
      </w:pPr>
      <w:r>
        <w:br w:type="page"/>
      </w:r>
    </w:p>
    <w:p w14:paraId="54AE839A" w14:textId="77777777" w:rsidR="0012311E" w:rsidRPr="002A5A00" w:rsidRDefault="0012311E" w:rsidP="0012311E">
      <w:pPr>
        <w:jc w:val="left"/>
        <w:rPr>
          <w:sz w:val="28"/>
          <w:szCs w:val="28"/>
        </w:rPr>
      </w:pPr>
      <w:bookmarkStart w:id="4" w:name="bookmark40"/>
      <w:r>
        <w:rPr>
          <w:b/>
          <w:sz w:val="28"/>
        </w:rPr>
        <w:lastRenderedPageBreak/>
        <w:t>Про які порушення ви зобов’язані повідомляти</w:t>
      </w:r>
      <w:bookmarkEnd w:id="4"/>
    </w:p>
    <w:p w14:paraId="45FB9172" w14:textId="77777777" w:rsidR="0012311E" w:rsidRDefault="0012311E" w:rsidP="001231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</w:pPr>
      <w:r>
        <w:rPr>
          <w:b/>
        </w:rPr>
        <w:t>Відділ комплаєнс</w:t>
      </w:r>
    </w:p>
    <w:p w14:paraId="5F07AED5" w14:textId="77777777" w:rsidR="0012311E" w:rsidRDefault="0012311E" w:rsidP="0012311E">
      <w:pPr>
        <w:pStyle w:val="BULLET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</w:pPr>
      <w:r>
        <w:rPr>
          <w:b/>
        </w:rPr>
        <w:t>•</w:t>
      </w:r>
      <w:r>
        <w:rPr>
          <w:b/>
        </w:rPr>
        <w:tab/>
        <w:t>Хабарі або незаконні комісії, незаконні ділові подяки</w:t>
      </w:r>
    </w:p>
    <w:p w14:paraId="44CB1B36" w14:textId="77777777" w:rsidR="0012311E" w:rsidRDefault="0012311E" w:rsidP="0012311E">
      <w:pPr>
        <w:pStyle w:val="BULLET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</w:pPr>
      <w:r>
        <w:rPr>
          <w:b/>
        </w:rPr>
        <w:t>•</w:t>
      </w:r>
      <w:r>
        <w:rPr>
          <w:b/>
        </w:rPr>
        <w:tab/>
        <w:t>Фальсифікація книг і записів та шахрайство в бухгалтерському обліку</w:t>
      </w:r>
    </w:p>
    <w:p w14:paraId="3EDFCDCB" w14:textId="60BB847B" w:rsidR="0012311E" w:rsidRDefault="0012311E" w:rsidP="0012311E">
      <w:pPr>
        <w:pStyle w:val="BULLET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</w:pPr>
      <w:r>
        <w:t>•</w:t>
      </w:r>
      <w:r>
        <w:tab/>
      </w:r>
      <w:r>
        <w:rPr>
          <w:b/>
          <w:bCs/>
        </w:rPr>
        <w:t>Шахрайство, крадіжка працівників, шахрайство T&amp;E або шахрайство з</w:t>
      </w:r>
      <w:r w:rsidR="00102B0E">
        <w:rPr>
          <w:b/>
          <w:bCs/>
          <w:lang w:val="pl-PL"/>
        </w:rPr>
        <w:t> </w:t>
      </w:r>
      <w:r>
        <w:rPr>
          <w:b/>
          <w:bCs/>
        </w:rPr>
        <w:t>готівковими витратами</w:t>
      </w:r>
    </w:p>
    <w:p w14:paraId="2AE6C328" w14:textId="66926125" w:rsidR="0012311E" w:rsidRDefault="0012311E" w:rsidP="0012311E">
      <w:pPr>
        <w:pStyle w:val="BULLET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</w:pPr>
      <w:r>
        <w:t>•</w:t>
      </w:r>
      <w:r>
        <w:tab/>
      </w:r>
      <w:r>
        <w:rPr>
          <w:b/>
          <w:bCs/>
        </w:rPr>
        <w:t>Порушення місцевих законодавчих актів, що стосуються галузі медичних послуг (антимонопольне законодавство, економічні санкції)</w:t>
      </w:r>
    </w:p>
    <w:p w14:paraId="71D9AA46" w14:textId="77777777" w:rsidR="0012311E" w:rsidRDefault="0012311E" w:rsidP="0012311E">
      <w:pPr>
        <w:pStyle w:val="BULLET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</w:pPr>
      <w:r>
        <w:rPr>
          <w:b/>
        </w:rPr>
        <w:t>•</w:t>
      </w:r>
      <w:r>
        <w:rPr>
          <w:b/>
        </w:rPr>
        <w:tab/>
        <w:t>Інші порушення принципів та процедур відповідності</w:t>
      </w:r>
    </w:p>
    <w:p w14:paraId="466629FA" w14:textId="77777777" w:rsidR="0012311E" w:rsidRDefault="0012311E" w:rsidP="0012311E">
      <w:pPr>
        <w:pStyle w:val="BULLET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</w:pPr>
      <w:r>
        <w:rPr>
          <w:b/>
        </w:rPr>
        <w:t>•</w:t>
      </w:r>
      <w:r>
        <w:rPr>
          <w:b/>
        </w:rPr>
        <w:tab/>
        <w:t>Заходи у відповідь за повідомлення про порушення відповідності</w:t>
      </w:r>
    </w:p>
    <w:p w14:paraId="5865410C" w14:textId="77777777" w:rsidR="0012311E" w:rsidRDefault="0012311E" w:rsidP="0012311E">
      <w:pPr>
        <w:jc w:val="left"/>
        <w:rPr>
          <w:b/>
        </w:rPr>
      </w:pPr>
    </w:p>
    <w:p w14:paraId="3F7D5269" w14:textId="77777777" w:rsidR="0012311E" w:rsidRDefault="0012311E" w:rsidP="001231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</w:pPr>
      <w:r>
        <w:rPr>
          <w:b/>
        </w:rPr>
        <w:t>Відділ People Services</w:t>
      </w:r>
    </w:p>
    <w:p w14:paraId="45CF52F2" w14:textId="77777777" w:rsidR="0012311E" w:rsidRDefault="0012311E" w:rsidP="0012311E">
      <w:pPr>
        <w:pStyle w:val="BULLET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</w:pPr>
      <w:r>
        <w:rPr>
          <w:b/>
        </w:rPr>
        <w:t>•</w:t>
      </w:r>
      <w:r>
        <w:rPr>
          <w:b/>
        </w:rPr>
        <w:tab/>
        <w:t>Питання, пов'язані з умовами працевлаштування/трудовим договором чи іншим</w:t>
      </w:r>
    </w:p>
    <w:p w14:paraId="3DADEEB9" w14:textId="77777777" w:rsidR="0012311E" w:rsidRDefault="0012311E" w:rsidP="0012311E">
      <w:pPr>
        <w:pStyle w:val="BULLET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</w:pPr>
      <w:r>
        <w:rPr>
          <w:b/>
        </w:rPr>
        <w:t>•</w:t>
      </w:r>
      <w:r>
        <w:rPr>
          <w:b/>
        </w:rPr>
        <w:tab/>
        <w:t>Конфлікти з начальством або між членами команди (включаючи порушення фізичної недоторканності)</w:t>
      </w:r>
    </w:p>
    <w:p w14:paraId="54ABFCC2" w14:textId="77777777" w:rsidR="0012311E" w:rsidRDefault="0012311E" w:rsidP="0012311E">
      <w:pPr>
        <w:pStyle w:val="BULLET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</w:pPr>
      <w:r>
        <w:rPr>
          <w:b/>
        </w:rPr>
        <w:t>•</w:t>
      </w:r>
      <w:r>
        <w:rPr>
          <w:b/>
        </w:rPr>
        <w:tab/>
        <w:t>Особисті конфлікти інтересів</w:t>
      </w:r>
    </w:p>
    <w:p w14:paraId="650C783D" w14:textId="77777777" w:rsidR="0012311E" w:rsidRDefault="0012311E" w:rsidP="0012311E">
      <w:pPr>
        <w:pStyle w:val="BULLET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</w:pPr>
      <w:r>
        <w:rPr>
          <w:b/>
        </w:rPr>
        <w:t>•</w:t>
      </w:r>
      <w:r>
        <w:rPr>
          <w:b/>
        </w:rPr>
        <w:tab/>
        <w:t>Дискримінація/ сексуальні домагання</w:t>
      </w:r>
    </w:p>
    <w:p w14:paraId="2A6DAD3B" w14:textId="77777777" w:rsidR="0012311E" w:rsidRDefault="0012311E" w:rsidP="0012311E">
      <w:pPr>
        <w:pStyle w:val="BULLET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</w:pPr>
      <w:r>
        <w:t>•</w:t>
      </w:r>
      <w:r>
        <w:tab/>
      </w:r>
      <w:r>
        <w:rPr>
          <w:b/>
          <w:bCs/>
        </w:rPr>
        <w:t>Члени команди під впливом, наприклад, алкоголю, наркотиків</w:t>
      </w:r>
    </w:p>
    <w:p w14:paraId="4C9B6795" w14:textId="77777777" w:rsidR="0012311E" w:rsidRDefault="0012311E" w:rsidP="0012311E">
      <w:pPr>
        <w:pStyle w:val="BULLET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</w:pPr>
      <w:r>
        <w:rPr>
          <w:b/>
        </w:rPr>
        <w:t>•</w:t>
      </w:r>
      <w:r>
        <w:rPr>
          <w:b/>
        </w:rPr>
        <w:tab/>
        <w:t>Порушення політики у соціальних мережах</w:t>
      </w:r>
    </w:p>
    <w:p w14:paraId="00E18CFC" w14:textId="77777777" w:rsidR="0012311E" w:rsidRDefault="0012311E" w:rsidP="0012311E">
      <w:pPr>
        <w:pStyle w:val="BULLET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</w:pPr>
      <w:r>
        <w:rPr>
          <w:b/>
        </w:rPr>
        <w:t>•</w:t>
      </w:r>
      <w:r>
        <w:rPr>
          <w:b/>
        </w:rPr>
        <w:tab/>
        <w:t>Заходи у відповідь за повідомлення про інші порушення ніж пов'язані з відповідністю</w:t>
      </w:r>
    </w:p>
    <w:p w14:paraId="67EA4875" w14:textId="77777777" w:rsidR="0012311E" w:rsidRDefault="0012311E" w:rsidP="0012311E">
      <w:pPr>
        <w:jc w:val="left"/>
        <w:rPr>
          <w:b/>
        </w:rPr>
      </w:pPr>
    </w:p>
    <w:p w14:paraId="21EA9117" w14:textId="77777777" w:rsidR="0012311E" w:rsidRDefault="0012311E" w:rsidP="001231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</w:pPr>
      <w:r>
        <w:rPr>
          <w:b/>
        </w:rPr>
        <w:t>Медичний/клінічний відділ</w:t>
      </w:r>
    </w:p>
    <w:p w14:paraId="3ECCE377" w14:textId="77777777" w:rsidR="0012311E" w:rsidRDefault="0012311E" w:rsidP="0012311E">
      <w:pPr>
        <w:pStyle w:val="BULLET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</w:pPr>
      <w:r>
        <w:rPr>
          <w:b/>
        </w:rPr>
        <w:t>•</w:t>
      </w:r>
      <w:r>
        <w:rPr>
          <w:b/>
        </w:rPr>
        <w:tab/>
        <w:t>Неадекватна поведінка по відношенню до пацієнтів</w:t>
      </w:r>
    </w:p>
    <w:p w14:paraId="553F2A57" w14:textId="77777777" w:rsidR="0012311E" w:rsidRDefault="0012311E" w:rsidP="0012311E">
      <w:pPr>
        <w:pStyle w:val="BULLET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</w:pPr>
      <w:r>
        <w:rPr>
          <w:b/>
        </w:rPr>
        <w:t>•</w:t>
      </w:r>
      <w:r>
        <w:rPr>
          <w:b/>
        </w:rPr>
        <w:tab/>
        <w:t>Небезпечні медичні процедури</w:t>
      </w:r>
    </w:p>
    <w:p w14:paraId="73482AD6" w14:textId="77777777" w:rsidR="0012311E" w:rsidRDefault="0012311E" w:rsidP="0012311E">
      <w:pPr>
        <w:pStyle w:val="BULLET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</w:pPr>
      <w:r>
        <w:rPr>
          <w:b/>
        </w:rPr>
        <w:t>•</w:t>
      </w:r>
      <w:r>
        <w:rPr>
          <w:b/>
        </w:rPr>
        <w:tab/>
        <w:t>Недотримання клінічних правил і процедур</w:t>
      </w:r>
    </w:p>
    <w:p w14:paraId="32A04EC7" w14:textId="77777777" w:rsidR="0012311E" w:rsidRDefault="0012311E" w:rsidP="0012311E">
      <w:pPr>
        <w:jc w:val="left"/>
        <w:rPr>
          <w:b/>
        </w:rPr>
      </w:pPr>
    </w:p>
    <w:p w14:paraId="4AFAE5A9" w14:textId="77777777" w:rsidR="0012311E" w:rsidRDefault="0012311E" w:rsidP="001231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</w:pPr>
      <w:r>
        <w:rPr>
          <w:b/>
        </w:rPr>
        <w:t>Офіс спеціального радника (OSC)</w:t>
      </w:r>
    </w:p>
    <w:p w14:paraId="1649552C" w14:textId="77777777" w:rsidR="0012311E" w:rsidRDefault="0012311E" w:rsidP="0012311E">
      <w:pPr>
        <w:pStyle w:val="BULLET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</w:pPr>
      <w:r>
        <w:rPr>
          <w:b/>
        </w:rPr>
        <w:t>•</w:t>
      </w:r>
      <w:r>
        <w:rPr>
          <w:b/>
        </w:rPr>
        <w:tab/>
        <w:t xml:space="preserve">Потенційні порушення законодавства США </w:t>
      </w:r>
      <w:r>
        <w:rPr>
          <w:b/>
          <w:i/>
          <w:iCs/>
          <w:u w:val="single"/>
        </w:rPr>
        <w:t>(за дорученням Відділу комплаєнс)</w:t>
      </w:r>
    </w:p>
    <w:p w14:paraId="1655251F" w14:textId="77777777" w:rsidR="0012311E" w:rsidRDefault="0012311E" w:rsidP="0012311E">
      <w:pPr>
        <w:jc w:val="left"/>
        <w:rPr>
          <w:b/>
        </w:rPr>
      </w:pPr>
    </w:p>
    <w:p w14:paraId="5B7DC936" w14:textId="77777777" w:rsidR="0012311E" w:rsidRDefault="0012311E" w:rsidP="001231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</w:pPr>
      <w:r>
        <w:rPr>
          <w:b/>
          <w:bCs/>
        </w:rPr>
        <w:t>Юридичний відділ (JLD)</w:t>
      </w:r>
    </w:p>
    <w:p w14:paraId="039D0A3E" w14:textId="77777777" w:rsidR="0012311E" w:rsidRDefault="0012311E" w:rsidP="0012311E">
      <w:pPr>
        <w:pStyle w:val="BULLET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</w:pPr>
      <w:r>
        <w:rPr>
          <w:b/>
        </w:rPr>
        <w:lastRenderedPageBreak/>
        <w:t>•</w:t>
      </w:r>
      <w:r>
        <w:rPr>
          <w:b/>
        </w:rPr>
        <w:tab/>
        <w:t>Конфіденційність та захист даних (включаючи порушення Політики користування інформаційними технологіями)</w:t>
      </w:r>
    </w:p>
    <w:p w14:paraId="3A9E9609" w14:textId="77777777" w:rsidR="0012311E" w:rsidRDefault="0012311E" w:rsidP="0012311E">
      <w:pPr>
        <w:pStyle w:val="BULLET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</w:pPr>
      <w:r>
        <w:rPr>
          <w:b/>
        </w:rPr>
        <w:t>•</w:t>
      </w:r>
      <w:r>
        <w:rPr>
          <w:b/>
        </w:rPr>
        <w:tab/>
        <w:t>Інші порушення місцевого законодавства</w:t>
      </w:r>
    </w:p>
    <w:p w14:paraId="70EEA2DF" w14:textId="77777777" w:rsidR="0012311E" w:rsidRDefault="0012311E" w:rsidP="0012311E">
      <w:pPr>
        <w:jc w:val="left"/>
        <w:rPr>
          <w:b/>
        </w:rPr>
      </w:pPr>
    </w:p>
    <w:p w14:paraId="0DEB296B" w14:textId="77777777" w:rsidR="0012311E" w:rsidRDefault="0012311E" w:rsidP="00102B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jc w:val="left"/>
      </w:pPr>
      <w:r>
        <w:rPr>
          <w:b/>
        </w:rPr>
        <w:t>Операційний відділ</w:t>
      </w:r>
    </w:p>
    <w:p w14:paraId="11A0B0A3" w14:textId="77777777" w:rsidR="0012311E" w:rsidRPr="00102B0E" w:rsidRDefault="0012311E" w:rsidP="00102B0E">
      <w:pPr>
        <w:pStyle w:val="BULLET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jc w:val="left"/>
        <w:rPr>
          <w:b/>
          <w:bCs/>
        </w:rPr>
      </w:pPr>
      <w:r w:rsidRPr="00102B0E">
        <w:rPr>
          <w:b/>
          <w:bCs/>
        </w:rPr>
        <w:t>•</w:t>
      </w:r>
      <w:r w:rsidRPr="00102B0E">
        <w:rPr>
          <w:b/>
          <w:bCs/>
        </w:rPr>
        <w:tab/>
        <w:t>Проблеми, пов'язані з функціонуванням центру</w:t>
      </w:r>
    </w:p>
    <w:p w14:paraId="5CA50A9F" w14:textId="77777777" w:rsidR="0012311E" w:rsidRPr="00102B0E" w:rsidRDefault="0012311E" w:rsidP="00102B0E">
      <w:pPr>
        <w:pStyle w:val="BULLET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jc w:val="left"/>
        <w:rPr>
          <w:b/>
          <w:bCs/>
        </w:rPr>
      </w:pPr>
      <w:r w:rsidRPr="00102B0E">
        <w:rPr>
          <w:b/>
          <w:bCs/>
        </w:rPr>
        <w:t>-</w:t>
      </w:r>
      <w:r w:rsidRPr="00102B0E">
        <w:rPr>
          <w:b/>
          <w:bCs/>
        </w:rPr>
        <w:tab/>
        <w:t>Агресивна або неадекватна поведінка пацієнта</w:t>
      </w:r>
    </w:p>
    <w:p w14:paraId="42955273" w14:textId="77777777" w:rsidR="0012311E" w:rsidRPr="00102B0E" w:rsidRDefault="0012311E" w:rsidP="00102B0E">
      <w:pPr>
        <w:pStyle w:val="BULLET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jc w:val="left"/>
        <w:rPr>
          <w:b/>
          <w:bCs/>
        </w:rPr>
      </w:pPr>
      <w:r w:rsidRPr="00102B0E">
        <w:rPr>
          <w:b/>
          <w:bCs/>
        </w:rPr>
        <w:t>-</w:t>
      </w:r>
      <w:r w:rsidRPr="00102B0E">
        <w:rPr>
          <w:b/>
          <w:bCs/>
        </w:rPr>
        <w:tab/>
        <w:t>Безпечне робоче середовище</w:t>
      </w:r>
    </w:p>
    <w:p w14:paraId="7588D3B3" w14:textId="77777777" w:rsidR="0012311E" w:rsidRPr="00102B0E" w:rsidRDefault="0012311E" w:rsidP="00102B0E">
      <w:pPr>
        <w:pStyle w:val="BULLET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jc w:val="left"/>
        <w:rPr>
          <w:b/>
          <w:bCs/>
        </w:rPr>
      </w:pPr>
      <w:r w:rsidRPr="00102B0E">
        <w:rPr>
          <w:b/>
          <w:bCs/>
        </w:rPr>
        <w:t>•</w:t>
      </w:r>
      <w:r w:rsidRPr="00102B0E">
        <w:rPr>
          <w:b/>
          <w:bCs/>
        </w:rPr>
        <w:tab/>
        <w:t>Скарги пацієнтів та/або представника пацієнтів</w:t>
      </w:r>
    </w:p>
    <w:p w14:paraId="1D2E76A3" w14:textId="77777777" w:rsidR="0012311E" w:rsidRPr="00102B0E" w:rsidRDefault="0012311E" w:rsidP="00102B0E">
      <w:pPr>
        <w:pStyle w:val="BULLET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jc w:val="left"/>
        <w:rPr>
          <w:b/>
          <w:bCs/>
        </w:rPr>
      </w:pPr>
      <w:r w:rsidRPr="00102B0E">
        <w:rPr>
          <w:b/>
          <w:bCs/>
        </w:rPr>
        <w:t>•</w:t>
      </w:r>
      <w:r w:rsidRPr="00102B0E">
        <w:rPr>
          <w:b/>
          <w:bCs/>
        </w:rPr>
        <w:tab/>
        <w:t>Зловживання майном компанії або персоналу</w:t>
      </w:r>
    </w:p>
    <w:p w14:paraId="1A8A0164" w14:textId="77777777" w:rsidR="0012311E" w:rsidRPr="00102B0E" w:rsidRDefault="0012311E" w:rsidP="00102B0E">
      <w:pPr>
        <w:pStyle w:val="BULLET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jc w:val="left"/>
        <w:rPr>
          <w:b/>
          <w:bCs/>
        </w:rPr>
      </w:pPr>
      <w:r w:rsidRPr="00102B0E">
        <w:rPr>
          <w:b/>
          <w:bCs/>
        </w:rPr>
        <w:t>-</w:t>
      </w:r>
      <w:r w:rsidRPr="00102B0E">
        <w:rPr>
          <w:b/>
          <w:bCs/>
        </w:rPr>
        <w:tab/>
        <w:t>наприклад, використання робочого обладнання для ведення власного бізнесу</w:t>
      </w:r>
    </w:p>
    <w:p w14:paraId="3B641951" w14:textId="77777777" w:rsidR="0012311E" w:rsidRDefault="0012311E" w:rsidP="0012311E">
      <w:pPr>
        <w:jc w:val="left"/>
        <w:rPr>
          <w:b/>
        </w:rPr>
      </w:pPr>
      <w:bookmarkStart w:id="5" w:name="bookmark41"/>
      <w:r>
        <w:br w:type="page"/>
      </w:r>
    </w:p>
    <w:p w14:paraId="0A2C16EA" w14:textId="77777777" w:rsidR="0012311E" w:rsidRPr="002A5A00" w:rsidRDefault="0012311E" w:rsidP="0012311E">
      <w:pPr>
        <w:jc w:val="left"/>
        <w:rPr>
          <w:sz w:val="28"/>
          <w:szCs w:val="28"/>
        </w:rPr>
      </w:pPr>
      <w:r>
        <w:rPr>
          <w:b/>
          <w:sz w:val="28"/>
        </w:rPr>
        <w:lastRenderedPageBreak/>
        <w:t>Про які порушення згідно з</w:t>
      </w:r>
      <w:bookmarkEnd w:id="5"/>
      <w:r>
        <w:rPr>
          <w:b/>
          <w:sz w:val="28"/>
        </w:rPr>
        <w:t xml:space="preserve"> </w:t>
      </w:r>
      <w:bookmarkStart w:id="6" w:name="bookmark42"/>
      <w:r>
        <w:rPr>
          <w:b/>
          <w:sz w:val="28"/>
        </w:rPr>
        <w:t>Директивою ЄС* ви зобов'язані повідомити</w:t>
      </w:r>
      <w:bookmarkEnd w:id="6"/>
    </w:p>
    <w:p w14:paraId="5877C45B" w14:textId="77777777" w:rsidR="0012311E" w:rsidRDefault="0012311E" w:rsidP="0012311E">
      <w:pPr>
        <w:jc w:val="left"/>
        <w:rPr>
          <w:b/>
        </w:rPr>
      </w:pPr>
    </w:p>
    <w:p w14:paraId="05B4BD7D" w14:textId="77777777" w:rsidR="0012311E" w:rsidRDefault="0012311E" w:rsidP="001231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</w:pPr>
      <w:r>
        <w:rPr>
          <w:b/>
        </w:rPr>
        <w:t>Порушенням закону є дія чи бездіяльність, яка є незаконна або має на меті обійти закон, що стосується:</w:t>
      </w:r>
    </w:p>
    <w:p w14:paraId="01D62381" w14:textId="77777777" w:rsidR="0012311E" w:rsidRDefault="0012311E" w:rsidP="0012311E">
      <w:pPr>
        <w:pStyle w:val="BULLET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</w:pPr>
      <w:r>
        <w:t>•</w:t>
      </w:r>
      <w:r>
        <w:tab/>
        <w:t>державних закупівель;</w:t>
      </w:r>
    </w:p>
    <w:p w14:paraId="0F1CBD18" w14:textId="77777777" w:rsidR="0012311E" w:rsidRDefault="0012311E" w:rsidP="0012311E">
      <w:pPr>
        <w:pStyle w:val="BULLET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</w:pPr>
      <w:r>
        <w:t>•</w:t>
      </w:r>
      <w:r>
        <w:tab/>
        <w:t>послуг, продуктів та фінансових ринків</w:t>
      </w:r>
    </w:p>
    <w:p w14:paraId="5C8F0228" w14:textId="77777777" w:rsidR="0012311E" w:rsidRDefault="0012311E" w:rsidP="0012311E">
      <w:pPr>
        <w:pStyle w:val="BULLET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</w:pPr>
      <w:r>
        <w:t>•</w:t>
      </w:r>
      <w:r>
        <w:tab/>
        <w:t>запобігання відмиванню грошей та фінансуванню тероризму</w:t>
      </w:r>
    </w:p>
    <w:p w14:paraId="7552B176" w14:textId="77777777" w:rsidR="0012311E" w:rsidRDefault="0012311E" w:rsidP="0012311E">
      <w:pPr>
        <w:pStyle w:val="BULLET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</w:pPr>
      <w:r>
        <w:t>•</w:t>
      </w:r>
      <w:r>
        <w:tab/>
        <w:t>безпеки та відповідність продукції вимогам</w:t>
      </w:r>
    </w:p>
    <w:p w14:paraId="006F0284" w14:textId="77777777" w:rsidR="0012311E" w:rsidRDefault="0012311E" w:rsidP="0012311E">
      <w:pPr>
        <w:pStyle w:val="BULLET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</w:pPr>
      <w:r>
        <w:t>•</w:t>
      </w:r>
      <w:r>
        <w:tab/>
        <w:t>транспортної безпеки</w:t>
      </w:r>
    </w:p>
    <w:p w14:paraId="3DC0452A" w14:textId="77777777" w:rsidR="0012311E" w:rsidRDefault="0012311E" w:rsidP="0012311E">
      <w:pPr>
        <w:pStyle w:val="BULLET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</w:pPr>
      <w:r>
        <w:t>•</w:t>
      </w:r>
      <w:r>
        <w:tab/>
        <w:t>охорони навколишнього середовища</w:t>
      </w:r>
    </w:p>
    <w:p w14:paraId="142A337A" w14:textId="77777777" w:rsidR="0012311E" w:rsidRDefault="0012311E" w:rsidP="0012311E">
      <w:pPr>
        <w:pStyle w:val="BULLET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</w:pPr>
      <w:r>
        <w:t>•</w:t>
      </w:r>
      <w:r>
        <w:tab/>
        <w:t>радіологічного захисту та ядерної безпеки</w:t>
      </w:r>
    </w:p>
    <w:p w14:paraId="32059EBF" w14:textId="77777777" w:rsidR="0012311E" w:rsidRDefault="0012311E" w:rsidP="0012311E">
      <w:pPr>
        <w:pStyle w:val="BULLET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</w:pPr>
      <w:r>
        <w:t>•</w:t>
      </w:r>
      <w:r>
        <w:tab/>
        <w:t>безпеки харчових продуктів і кормів</w:t>
      </w:r>
    </w:p>
    <w:p w14:paraId="1CA7CD8C" w14:textId="77777777" w:rsidR="0012311E" w:rsidRDefault="0012311E" w:rsidP="0012311E">
      <w:pPr>
        <w:pStyle w:val="BULLET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</w:pPr>
      <w:r>
        <w:t>•</w:t>
      </w:r>
      <w:r>
        <w:tab/>
        <w:t>здоров'я та благополуччя тварин</w:t>
      </w:r>
    </w:p>
    <w:p w14:paraId="6C852443" w14:textId="77777777" w:rsidR="0012311E" w:rsidRDefault="0012311E" w:rsidP="0012311E">
      <w:pPr>
        <w:pStyle w:val="BULLET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</w:pPr>
      <w:r>
        <w:t>•</w:t>
      </w:r>
      <w:r>
        <w:tab/>
        <w:t>охорони громадського здоров'я</w:t>
      </w:r>
    </w:p>
    <w:p w14:paraId="4ACD0537" w14:textId="77777777" w:rsidR="0012311E" w:rsidRDefault="0012311E" w:rsidP="0012311E">
      <w:pPr>
        <w:pStyle w:val="BULLET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</w:pPr>
      <w:r>
        <w:t>•</w:t>
      </w:r>
      <w:r>
        <w:tab/>
        <w:t>захисту прав споживачів</w:t>
      </w:r>
    </w:p>
    <w:p w14:paraId="364DF7F5" w14:textId="77777777" w:rsidR="0012311E" w:rsidRDefault="0012311E" w:rsidP="0012311E">
      <w:pPr>
        <w:pStyle w:val="BULLET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</w:pPr>
      <w:r>
        <w:t>•</w:t>
      </w:r>
      <w:r>
        <w:tab/>
        <w:t>захисту конфіденційності та персональних даних</w:t>
      </w:r>
    </w:p>
    <w:p w14:paraId="682E37D6" w14:textId="77777777" w:rsidR="0012311E" w:rsidRDefault="0012311E" w:rsidP="0012311E">
      <w:pPr>
        <w:pStyle w:val="BULLET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</w:pPr>
      <w:r>
        <w:t>•</w:t>
      </w:r>
      <w:r>
        <w:tab/>
        <w:t>безпеки мереж та ІТ-систем</w:t>
      </w:r>
    </w:p>
    <w:p w14:paraId="5020F1AC" w14:textId="77777777" w:rsidR="0012311E" w:rsidRDefault="0012311E" w:rsidP="0012311E">
      <w:pPr>
        <w:pStyle w:val="BULLET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</w:pPr>
      <w:r>
        <w:t>•</w:t>
      </w:r>
      <w:r>
        <w:tab/>
        <w:t>фінансових інтересів Європейського Союзу</w:t>
      </w:r>
    </w:p>
    <w:p w14:paraId="1AE420AA" w14:textId="77777777" w:rsidR="0012311E" w:rsidRDefault="0012311E" w:rsidP="0012311E">
      <w:pPr>
        <w:pStyle w:val="BULLET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</w:pPr>
      <w:r>
        <w:t>•</w:t>
      </w:r>
      <w:r>
        <w:tab/>
        <w:t>внутрішнього ринку Європейського Союзу, включаючи принципи конкуренції і державної допомоги та оподаткування юридичних осіб</w:t>
      </w:r>
    </w:p>
    <w:p w14:paraId="3CC5D0AE" w14:textId="77777777" w:rsidR="0012311E" w:rsidRDefault="0012311E" w:rsidP="0012311E">
      <w:pPr>
        <w:jc w:val="left"/>
      </w:pPr>
      <w:r>
        <w:t>* Директива Європейського Парламенту та Ради (ЄС) 2019/1937 від 23 жовтня 2019 р. Про захист осіб, які повідомляють про порушення законодавства ЄС</w:t>
      </w:r>
    </w:p>
    <w:p w14:paraId="0BE38286" w14:textId="77777777" w:rsidR="0012311E" w:rsidRDefault="0012311E" w:rsidP="0012311E">
      <w:pPr>
        <w:jc w:val="left"/>
      </w:pPr>
      <w:r>
        <w:br w:type="page"/>
      </w:r>
    </w:p>
    <w:p w14:paraId="321303F4" w14:textId="77777777" w:rsidR="0012311E" w:rsidRPr="002A5A00" w:rsidRDefault="0012311E" w:rsidP="0012311E">
      <w:pPr>
        <w:jc w:val="left"/>
        <w:rPr>
          <w:sz w:val="28"/>
          <w:szCs w:val="28"/>
        </w:rPr>
      </w:pPr>
      <w:bookmarkStart w:id="7" w:name="bookmark43"/>
      <w:r>
        <w:rPr>
          <w:b/>
          <w:sz w:val="28"/>
        </w:rPr>
        <w:lastRenderedPageBreak/>
        <w:t>Повідомите про порушення і що далі...?</w:t>
      </w:r>
      <w:bookmarkEnd w:id="7"/>
    </w:p>
    <w:p w14:paraId="1E8B871A" w14:textId="77777777" w:rsidR="0012311E" w:rsidRDefault="0012311E" w:rsidP="0012311E">
      <w:pPr>
        <w:ind w:left="567" w:hanging="567"/>
        <w:jc w:val="left"/>
      </w:pPr>
      <w:bookmarkStart w:id="8" w:name="bookmark44"/>
      <w:r>
        <w:rPr>
          <w:b/>
          <w:bCs/>
        </w:rPr>
        <w:t>□</w:t>
      </w:r>
      <w:r>
        <w:rPr>
          <w:b/>
          <w:bCs/>
        </w:rPr>
        <w:tab/>
      </w:r>
      <w:r>
        <w:t>Поводження з повідомленнями:</w:t>
      </w:r>
      <w:bookmarkEnd w:id="8"/>
    </w:p>
    <w:p w14:paraId="69CAB3A7" w14:textId="77777777" w:rsidR="0012311E" w:rsidRDefault="0012311E" w:rsidP="0012311E">
      <w:pPr>
        <w:pStyle w:val="Akapitzlist"/>
        <w:numPr>
          <w:ilvl w:val="0"/>
          <w:numId w:val="3"/>
        </w:numPr>
        <w:ind w:left="1134" w:hanging="567"/>
        <w:jc w:val="left"/>
      </w:pPr>
      <w:r>
        <w:t>Ми дуже серйозно ставимося до кожного повідомлення</w:t>
      </w:r>
    </w:p>
    <w:p w14:paraId="205B0B40" w14:textId="77777777" w:rsidR="0012311E" w:rsidRDefault="0012311E" w:rsidP="0012311E">
      <w:pPr>
        <w:pStyle w:val="Akapitzlist"/>
        <w:numPr>
          <w:ilvl w:val="0"/>
          <w:numId w:val="3"/>
        </w:numPr>
        <w:ind w:left="1134" w:hanging="567"/>
        <w:jc w:val="left"/>
      </w:pPr>
      <w:r>
        <w:t>Ми швидко, ретельно та максимально конфіденційно розслідуємо повідомлення про порушення</w:t>
      </w:r>
    </w:p>
    <w:p w14:paraId="5FCB5A35" w14:textId="77777777" w:rsidR="0012311E" w:rsidRDefault="0012311E" w:rsidP="0012311E">
      <w:pPr>
        <w:pStyle w:val="Akapitzlist"/>
        <w:numPr>
          <w:ilvl w:val="0"/>
          <w:numId w:val="3"/>
        </w:numPr>
        <w:ind w:left="1134" w:hanging="567"/>
        <w:jc w:val="left"/>
      </w:pPr>
      <w:r>
        <w:t>Спеціальні команди проводять внутрішні розслідування неупереджено</w:t>
      </w:r>
    </w:p>
    <w:p w14:paraId="175099CB" w14:textId="77777777" w:rsidR="0012311E" w:rsidRDefault="0012311E" w:rsidP="0012311E">
      <w:pPr>
        <w:pStyle w:val="Akapitzlist"/>
        <w:numPr>
          <w:ilvl w:val="0"/>
          <w:numId w:val="3"/>
        </w:numPr>
        <w:ind w:left="1134" w:hanging="567"/>
        <w:jc w:val="left"/>
      </w:pPr>
      <w:r>
        <w:t>Ми очікуємо, що всі члени команди повністю співпрацюватимуть із внутрішніми слідчими групами</w:t>
      </w:r>
    </w:p>
    <w:p w14:paraId="0A28C1DD" w14:textId="77777777" w:rsidR="0012311E" w:rsidRDefault="0012311E" w:rsidP="0012311E">
      <w:pPr>
        <w:pStyle w:val="Akapitzlist"/>
        <w:numPr>
          <w:ilvl w:val="0"/>
          <w:numId w:val="3"/>
        </w:numPr>
        <w:ind w:left="1134" w:hanging="567"/>
        <w:jc w:val="left"/>
      </w:pPr>
      <w:r>
        <w:t>Про результат проведеного внутрішнього розгляду повідомляємо заявника</w:t>
      </w:r>
    </w:p>
    <w:p w14:paraId="58A1E8D7" w14:textId="77777777" w:rsidR="0012311E" w:rsidRDefault="0012311E" w:rsidP="0012311E">
      <w:pPr>
        <w:pStyle w:val="Akapitzlist"/>
        <w:numPr>
          <w:ilvl w:val="0"/>
          <w:numId w:val="3"/>
        </w:numPr>
        <w:ind w:left="1134" w:hanging="567"/>
        <w:jc w:val="left"/>
      </w:pPr>
      <w:r>
        <w:t>Ми вживаємо відповідних подальших заходів та/або коригуючих заходів, коли підтверджуємо, що зловживання дійсно відбулося</w:t>
      </w:r>
    </w:p>
    <w:p w14:paraId="566E6ABA" w14:textId="77777777" w:rsidR="0012311E" w:rsidRDefault="0012311E" w:rsidP="0012311E">
      <w:pPr>
        <w:ind w:left="567"/>
        <w:jc w:val="left"/>
      </w:pPr>
      <w:r>
        <w:br w:type="page"/>
      </w:r>
    </w:p>
    <w:p w14:paraId="65014D9D" w14:textId="77777777" w:rsidR="0012311E" w:rsidRPr="002A5A00" w:rsidRDefault="0012311E" w:rsidP="0012311E">
      <w:pPr>
        <w:jc w:val="left"/>
        <w:rPr>
          <w:sz w:val="28"/>
          <w:szCs w:val="28"/>
        </w:rPr>
      </w:pPr>
      <w:bookmarkStart w:id="9" w:name="bookmark45"/>
      <w:r>
        <w:rPr>
          <w:b/>
          <w:sz w:val="28"/>
        </w:rPr>
        <w:lastRenderedPageBreak/>
        <w:t>Ви захищені політикою DaVita щодо дій у відповідь</w:t>
      </w:r>
      <w:bookmarkEnd w:id="9"/>
    </w:p>
    <w:p w14:paraId="7E0B7D63" w14:textId="77777777" w:rsidR="0012311E" w:rsidRDefault="0012311E" w:rsidP="0012311E">
      <w:pPr>
        <w:jc w:val="center"/>
      </w:pPr>
      <w:bookmarkStart w:id="10" w:name="bookmark46"/>
      <w:r>
        <w:rPr>
          <w:b/>
        </w:rPr>
        <w:t>Наша політика заборони дій у відповідь проста:</w:t>
      </w:r>
      <w:bookmarkEnd w:id="10"/>
    </w:p>
    <w:p w14:paraId="19D63AC0" w14:textId="77777777" w:rsidR="0012311E" w:rsidRDefault="0012311E" w:rsidP="0012311E">
      <w:pPr>
        <w:jc w:val="center"/>
      </w:pPr>
      <w:r>
        <w:t>Ви не можете бути покарані за те, що вчинили правильно.</w:t>
      </w:r>
    </w:p>
    <w:p w14:paraId="4A988DEC" w14:textId="77777777" w:rsidR="0012311E" w:rsidRDefault="0012311E" w:rsidP="002A5A00">
      <w:pPr>
        <w:pStyle w:val="BULLETS"/>
        <w:ind w:left="567" w:hanging="567"/>
        <w:jc w:val="left"/>
      </w:pPr>
      <w:r>
        <w:t>□</w:t>
      </w:r>
      <w:r>
        <w:tab/>
        <w:t>Заходи у відповідь відбувається, коли хтось (наприклад, ваш керівник або колега по команді) вживає проти вас негативних дій (наприклад, знижує заробітну плату, переводить на нижчу посаду, звільняє, залякує), тому що:</w:t>
      </w:r>
    </w:p>
    <w:p w14:paraId="59897D16" w14:textId="77777777" w:rsidR="0012311E" w:rsidRDefault="0012311E" w:rsidP="0012311E">
      <w:pPr>
        <w:pStyle w:val="BULLETS"/>
        <w:ind w:left="1134" w:hanging="567"/>
        <w:jc w:val="left"/>
      </w:pPr>
      <w:r>
        <w:t>►</w:t>
      </w:r>
      <w:r>
        <w:rPr>
          <w:b/>
          <w:bCs/>
        </w:rPr>
        <w:tab/>
        <w:t>Ви заперечуєте або відмовляєтеся від таких дій,</w:t>
      </w:r>
      <w:r>
        <w:t xml:space="preserve"> які порушують Кодекс поведінки, наші внутрішні політики та процедури або чинне законодавство</w:t>
      </w:r>
    </w:p>
    <w:p w14:paraId="0A90937B" w14:textId="77777777" w:rsidR="0012311E" w:rsidRDefault="0012311E" w:rsidP="0012311E">
      <w:pPr>
        <w:pStyle w:val="BULLETS"/>
        <w:ind w:left="1134" w:hanging="567"/>
        <w:jc w:val="left"/>
      </w:pPr>
      <w:r>
        <w:t>►</w:t>
      </w:r>
      <w:r>
        <w:tab/>
      </w:r>
      <w:r>
        <w:rPr>
          <w:b/>
          <w:bCs/>
        </w:rPr>
        <w:t>Ви співпрацюєте</w:t>
      </w:r>
      <w:r>
        <w:t xml:space="preserve"> з внутрішнім розслідуванням або аудитом DaVita</w:t>
      </w:r>
    </w:p>
    <w:p w14:paraId="67768B08" w14:textId="77777777" w:rsidR="0012311E" w:rsidRDefault="0012311E" w:rsidP="0012311E">
      <w:pPr>
        <w:pStyle w:val="BULLETS"/>
        <w:ind w:left="1134" w:hanging="567"/>
        <w:jc w:val="left"/>
      </w:pPr>
      <w:r>
        <w:t>►</w:t>
      </w:r>
      <w:r>
        <w:tab/>
      </w:r>
      <w:r>
        <w:rPr>
          <w:b/>
          <w:bCs/>
        </w:rPr>
        <w:t>Ви добросовісно порушуєте питання відповідності</w:t>
      </w:r>
      <w:r>
        <w:t xml:space="preserve"> з менеджером DaVita, відділом комплаєнс, відділом PS або на гарячій лінії з питань відповідності вимогам)</w:t>
      </w:r>
    </w:p>
    <w:p w14:paraId="49C09855" w14:textId="79A8F4AD" w:rsidR="0012311E" w:rsidRDefault="0012311E" w:rsidP="0012311E">
      <w:pPr>
        <w:pStyle w:val="BULLETS"/>
        <w:ind w:left="567" w:hanging="567"/>
        <w:jc w:val="left"/>
      </w:pPr>
      <w:r>
        <w:t>□</w:t>
      </w:r>
      <w:r>
        <w:tab/>
      </w:r>
      <w:r>
        <w:rPr>
          <w:b/>
          <w:bCs/>
        </w:rPr>
        <w:t>Такі заходи заборонені.</w:t>
      </w:r>
      <w:r>
        <w:t xml:space="preserve"> Якщо ви вважаєте, що хтось застосовує до вас заходи у</w:t>
      </w:r>
      <w:r w:rsidR="00102B0E">
        <w:rPr>
          <w:lang w:val="pl-PL"/>
        </w:rPr>
        <w:t> </w:t>
      </w:r>
      <w:r>
        <w:t>відповідь, повідомте про це через менеджера Davit, відділ Compliance, відділ PS або на гарячій лінії з питань відповідності вимогам.</w:t>
      </w:r>
    </w:p>
    <w:p w14:paraId="7CA0DA54" w14:textId="77777777" w:rsidR="0012311E" w:rsidRDefault="0012311E" w:rsidP="0012311E">
      <w:pPr>
        <w:pStyle w:val="BULLETS"/>
        <w:ind w:left="567" w:hanging="567"/>
        <w:jc w:val="left"/>
      </w:pPr>
      <w:r>
        <w:br w:type="page"/>
      </w:r>
    </w:p>
    <w:p w14:paraId="41E4C678" w14:textId="77777777" w:rsidR="0012311E" w:rsidRPr="002A5A00" w:rsidRDefault="0012311E" w:rsidP="0012311E">
      <w:pPr>
        <w:jc w:val="left"/>
        <w:rPr>
          <w:sz w:val="28"/>
          <w:szCs w:val="28"/>
        </w:rPr>
      </w:pPr>
      <w:bookmarkStart w:id="11" w:name="bookmark47"/>
      <w:r>
        <w:rPr>
          <w:b/>
          <w:sz w:val="28"/>
        </w:rPr>
        <w:lastRenderedPageBreak/>
        <w:t>Додатково вас захищає директива ЄС</w:t>
      </w:r>
      <w:bookmarkEnd w:id="11"/>
    </w:p>
    <w:p w14:paraId="009ED079" w14:textId="0CB976A5" w:rsidR="0012311E" w:rsidRDefault="0012311E" w:rsidP="0012311E">
      <w:pPr>
        <w:pStyle w:val="BULLETS"/>
        <w:ind w:left="567" w:hanging="567"/>
        <w:jc w:val="left"/>
      </w:pPr>
      <w:r>
        <w:t>□</w:t>
      </w:r>
      <w:r>
        <w:tab/>
      </w:r>
      <w:r>
        <w:rPr>
          <w:b/>
          <w:bCs/>
        </w:rPr>
        <w:t>Якщо ви повідомляєте про незаконну поведінку або поводження, яке має на меті обійти положення Директиви ЄС, ви захищені від будь-якої заходів у</w:t>
      </w:r>
      <w:r w:rsidR="00102B0E">
        <w:rPr>
          <w:b/>
          <w:bCs/>
          <w:lang w:val="pl-PL"/>
        </w:rPr>
        <w:t> </w:t>
      </w:r>
      <w:r>
        <w:rPr>
          <w:b/>
          <w:bCs/>
        </w:rPr>
        <w:t>відповідь,</w:t>
      </w:r>
      <w:r>
        <w:t xml:space="preserve"> якщо:</w:t>
      </w:r>
    </w:p>
    <w:p w14:paraId="67B0747E" w14:textId="77777777" w:rsidR="0012311E" w:rsidRDefault="0012311E" w:rsidP="0012311E">
      <w:pPr>
        <w:pStyle w:val="Akapitzlist"/>
        <w:numPr>
          <w:ilvl w:val="0"/>
          <w:numId w:val="4"/>
        </w:numPr>
        <w:ind w:left="1134" w:hanging="567"/>
        <w:jc w:val="left"/>
      </w:pPr>
      <w:r>
        <w:t>Ви зробили внутрішнє повідомлення або</w:t>
      </w:r>
    </w:p>
    <w:p w14:paraId="7771EB00" w14:textId="77777777" w:rsidR="0012311E" w:rsidRDefault="0012311E" w:rsidP="0012311E">
      <w:pPr>
        <w:pStyle w:val="Akapitzlist"/>
        <w:numPr>
          <w:ilvl w:val="0"/>
          <w:numId w:val="4"/>
        </w:numPr>
        <w:ind w:left="1134" w:hanging="567"/>
        <w:jc w:val="left"/>
      </w:pPr>
      <w:r>
        <w:t>Зовнішнє повідомлення до компетентного органу або</w:t>
      </w:r>
    </w:p>
    <w:p w14:paraId="68515383" w14:textId="77777777" w:rsidR="0012311E" w:rsidRDefault="0012311E" w:rsidP="0012311E">
      <w:pPr>
        <w:pStyle w:val="Akapitzlist"/>
        <w:numPr>
          <w:ilvl w:val="0"/>
          <w:numId w:val="4"/>
        </w:numPr>
        <w:ind w:left="1134" w:hanging="567"/>
        <w:jc w:val="left"/>
      </w:pPr>
      <w:r>
        <w:t>Публічно оприлюднили за умови виконання однієї з наступних умов</w:t>
      </w:r>
    </w:p>
    <w:p w14:paraId="12FDB3D1" w14:textId="77777777" w:rsidR="0012311E" w:rsidRDefault="0012311E" w:rsidP="0012311E">
      <w:pPr>
        <w:pStyle w:val="BULLETS"/>
        <w:ind w:left="1701" w:hanging="567"/>
        <w:jc w:val="left"/>
      </w:pPr>
      <w:r>
        <w:t>1.</w:t>
      </w:r>
      <w:r>
        <w:tab/>
        <w:t>Спочатку ви зробили внутрішнє та зовнішнє повідомлення або відразу зовнішнє повідомлення, але у відповідь на повідомлення не вжито відповідних дій протягом строку, визначеного в Директиві</w:t>
      </w:r>
    </w:p>
    <w:p w14:paraId="29E809A1" w14:textId="77777777" w:rsidR="0012311E" w:rsidRDefault="0012311E" w:rsidP="0012311E">
      <w:pPr>
        <w:pStyle w:val="BULLETS"/>
        <w:ind w:left="1701" w:hanging="567"/>
        <w:jc w:val="left"/>
      </w:pPr>
      <w:r>
        <w:t>2.</w:t>
      </w:r>
      <w:r>
        <w:tab/>
        <w:t>У вас є обґрунтовані підстави вважати, що:</w:t>
      </w:r>
    </w:p>
    <w:p w14:paraId="45C641E0" w14:textId="77777777" w:rsidR="0012311E" w:rsidRDefault="0012311E" w:rsidP="0012311E">
      <w:pPr>
        <w:pStyle w:val="BULLETS"/>
        <w:ind w:left="2268" w:hanging="567"/>
        <w:jc w:val="left"/>
      </w:pPr>
      <w:r>
        <w:t>a.</w:t>
      </w:r>
      <w:r>
        <w:tab/>
        <w:t>Порушення може становити пряму або очевидну загрозу громадським інтересам, наприклад, у разі надзвичайної ситуації або ризику завдання непоправної шкоди; або</w:t>
      </w:r>
    </w:p>
    <w:p w14:paraId="61DA06CA" w14:textId="24B72D27" w:rsidR="0012311E" w:rsidRDefault="0012311E" w:rsidP="0012311E">
      <w:pPr>
        <w:pStyle w:val="BULLETS"/>
        <w:ind w:left="2268" w:hanging="567"/>
        <w:jc w:val="left"/>
      </w:pPr>
      <w:r>
        <w:t>б.</w:t>
      </w:r>
      <w:r>
        <w:tab/>
        <w:t>У разі зовнішнього повідомлення вам загрожуватимуть заходи у</w:t>
      </w:r>
      <w:r w:rsidR="00102B0E">
        <w:rPr>
          <w:lang w:val="pl-PL"/>
        </w:rPr>
        <w:t> </w:t>
      </w:r>
      <w:r>
        <w:t>відповідь або існує невелика ймовірність ефективного вирішення питання порушення через конкретні обставини справи, такі як можливість приховання або знищення доказів або можливість змови між органом та винуватцем чи участі органу у</w:t>
      </w:r>
      <w:r w:rsidR="00102B0E">
        <w:rPr>
          <w:lang w:val="pl-PL"/>
        </w:rPr>
        <w:t> </w:t>
      </w:r>
      <w:r>
        <w:t>порушенні.</w:t>
      </w:r>
    </w:p>
    <w:p w14:paraId="04435A1D" w14:textId="77777777" w:rsidR="0012311E" w:rsidRDefault="0012311E" w:rsidP="0012311E">
      <w:pPr>
        <w:pStyle w:val="BULLETS"/>
        <w:ind w:left="567" w:hanging="567"/>
        <w:jc w:val="left"/>
      </w:pPr>
      <w:r>
        <w:rPr>
          <w:b/>
        </w:rPr>
        <w:t>□</w:t>
      </w:r>
      <w:r>
        <w:rPr>
          <w:b/>
        </w:rPr>
        <w:tab/>
        <w:t>Захист також розповсюджується на:</w:t>
      </w:r>
    </w:p>
    <w:p w14:paraId="26E4BF23" w14:textId="2AE135AF" w:rsidR="0012311E" w:rsidRDefault="0012311E" w:rsidP="0012311E">
      <w:pPr>
        <w:pStyle w:val="Akapitzlist"/>
        <w:numPr>
          <w:ilvl w:val="0"/>
          <w:numId w:val="5"/>
        </w:numPr>
        <w:ind w:left="1134" w:hanging="567"/>
        <w:jc w:val="left"/>
      </w:pPr>
      <w:r>
        <w:t>Особи, які допомагають вам зробити повідомлення</w:t>
      </w:r>
    </w:p>
    <w:p w14:paraId="2CD98F82" w14:textId="3D650B94" w:rsidR="00961A52" w:rsidRDefault="0012311E" w:rsidP="002A5A00">
      <w:pPr>
        <w:pStyle w:val="Akapitzlist"/>
        <w:numPr>
          <w:ilvl w:val="0"/>
          <w:numId w:val="5"/>
        </w:numPr>
        <w:ind w:left="1134" w:hanging="567"/>
        <w:jc w:val="left"/>
      </w:pPr>
      <w:r>
        <w:t>Особи з вашого оточення (наприклад, члени сім'ї, друзі)</w:t>
      </w:r>
    </w:p>
    <w:sectPr w:rsidR="00961A52" w:rsidSect="00102B0E">
      <w:footerReference w:type="defaul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6B46C1" w14:textId="77777777" w:rsidR="00FC6978" w:rsidRDefault="00FC6978" w:rsidP="0012311E">
      <w:pPr>
        <w:spacing w:after="0" w:line="240" w:lineRule="auto"/>
      </w:pPr>
      <w:r>
        <w:separator/>
      </w:r>
    </w:p>
  </w:endnote>
  <w:endnote w:type="continuationSeparator" w:id="0">
    <w:p w14:paraId="2921AB2E" w14:textId="77777777" w:rsidR="00FC6978" w:rsidRDefault="00FC6978" w:rsidP="001231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405"/>
      <w:gridCol w:w="6657"/>
    </w:tblGrid>
    <w:tr w:rsidR="00F11DF2" w14:paraId="30221857" w14:textId="77777777" w:rsidTr="00DA1EA5">
      <w:tc>
        <w:tcPr>
          <w:tcW w:w="2405" w:type="dxa"/>
        </w:tcPr>
        <w:p w14:paraId="2538B5A7" w14:textId="6EECB2C5" w:rsidR="00F11DF2" w:rsidRDefault="00F11DF2" w:rsidP="00F11DF2">
          <w:pPr>
            <w:pStyle w:val="Stopka"/>
          </w:pPr>
        </w:p>
      </w:tc>
      <w:tc>
        <w:tcPr>
          <w:tcW w:w="6657" w:type="dxa"/>
        </w:tcPr>
        <w:p w14:paraId="730F61A6" w14:textId="6F5A1BE2" w:rsidR="00F11DF2" w:rsidRDefault="00F11DF2" w:rsidP="00F11DF2">
          <w:pPr>
            <w:pStyle w:val="Stopka"/>
            <w:spacing w:line="240" w:lineRule="auto"/>
          </w:pPr>
        </w:p>
      </w:tc>
    </w:tr>
  </w:tbl>
  <w:p w14:paraId="7759A653" w14:textId="54A520B5" w:rsidR="00302ADC" w:rsidRPr="00253906" w:rsidRDefault="00FC6978" w:rsidP="00F11DF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972"/>
      <w:gridCol w:w="6090"/>
    </w:tblGrid>
    <w:tr w:rsidR="0012311E" w14:paraId="04180F62" w14:textId="77777777" w:rsidTr="0012311E">
      <w:tc>
        <w:tcPr>
          <w:tcW w:w="2972" w:type="dxa"/>
        </w:tcPr>
        <w:p w14:paraId="4DDF7EB3" w14:textId="2A12D2DB" w:rsidR="0012311E" w:rsidRDefault="0012311E">
          <w:pPr>
            <w:pStyle w:val="Stopka"/>
          </w:pPr>
          <w:r>
            <w:rPr>
              <w:noProof/>
            </w:rPr>
            <w:drawing>
              <wp:inline distT="0" distB="0" distL="0" distR="0" wp14:anchorId="2F2FF480" wp14:editId="286E7255">
                <wp:extent cx="886400" cy="362309"/>
                <wp:effectExtent l="0" t="0" r="0" b="0"/>
                <wp:docPr id="6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New Bitmap Image.jpg"/>
                        <pic:cNvPicPr/>
                      </pic:nvPicPr>
                      <pic:blipFill rotWithShape="1">
                        <a:blip r:embed="rId1" cstate="print"/>
                        <a:srcRect l="11694" t="21761" r="13058" b="12879"/>
                        <a:stretch/>
                      </pic:blipFill>
                      <pic:spPr bwMode="auto">
                        <a:xfrm>
                          <a:off x="0" y="0"/>
                          <a:ext cx="894260" cy="365522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090" w:type="dxa"/>
        </w:tcPr>
        <w:p w14:paraId="10528094" w14:textId="6EE16735" w:rsidR="0012311E" w:rsidRPr="0012311E" w:rsidRDefault="0012311E" w:rsidP="0012311E">
          <w:pPr>
            <w:pStyle w:val="Stopka"/>
            <w:tabs>
              <w:tab w:val="clear" w:pos="4536"/>
              <w:tab w:val="clear" w:pos="9072"/>
              <w:tab w:val="left" w:pos="2921"/>
            </w:tabs>
            <w:rPr>
              <w:b/>
              <w:bCs/>
              <w:sz w:val="16"/>
              <w:szCs w:val="16"/>
            </w:rPr>
          </w:pPr>
          <w:r>
            <w:rPr>
              <w:b/>
              <w:sz w:val="16"/>
            </w:rPr>
            <w:t>ТІЛЬКИ ДЛЯ ВНУТРІШНЬОГО ВИКОРИСТАННЯ</w:t>
          </w:r>
        </w:p>
        <w:p w14:paraId="45E17DFE" w14:textId="77777777" w:rsidR="0012311E" w:rsidRPr="0012311E" w:rsidRDefault="0012311E" w:rsidP="0012311E">
          <w:pPr>
            <w:pStyle w:val="Stopka"/>
            <w:tabs>
              <w:tab w:val="clear" w:pos="4536"/>
              <w:tab w:val="clear" w:pos="9072"/>
              <w:tab w:val="left" w:pos="2921"/>
            </w:tabs>
            <w:rPr>
              <w:sz w:val="16"/>
              <w:szCs w:val="16"/>
            </w:rPr>
          </w:pPr>
          <w:r>
            <w:rPr>
              <w:b/>
              <w:sz w:val="16"/>
            </w:rPr>
            <w:t xml:space="preserve">Версія: </w:t>
          </w:r>
          <w:r>
            <w:rPr>
              <w:sz w:val="16"/>
            </w:rPr>
            <w:t>1</w:t>
          </w:r>
        </w:p>
        <w:p w14:paraId="120C7CAF" w14:textId="5E1AD16F" w:rsidR="0012311E" w:rsidRPr="0012311E" w:rsidRDefault="0012311E" w:rsidP="0012311E">
          <w:pPr>
            <w:pStyle w:val="Stopka"/>
            <w:tabs>
              <w:tab w:val="clear" w:pos="4536"/>
              <w:tab w:val="clear" w:pos="9072"/>
              <w:tab w:val="left" w:pos="2921"/>
            </w:tabs>
            <w:rPr>
              <w:sz w:val="16"/>
              <w:szCs w:val="16"/>
            </w:rPr>
          </w:pPr>
          <w:r>
            <w:rPr>
              <w:b/>
              <w:sz w:val="16"/>
            </w:rPr>
            <w:t xml:space="preserve">Дата публікації: </w:t>
          </w:r>
          <w:r>
            <w:rPr>
              <w:sz w:val="16"/>
            </w:rPr>
            <w:t>1 лютого 2022 року</w:t>
          </w:r>
        </w:p>
      </w:tc>
    </w:tr>
  </w:tbl>
  <w:p w14:paraId="36F8EDD3" w14:textId="77777777" w:rsidR="0012311E" w:rsidRDefault="0012311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F9DF6" w14:textId="77777777" w:rsidR="00FC6978" w:rsidRDefault="00FC6978" w:rsidP="0012311E">
      <w:pPr>
        <w:spacing w:after="0" w:line="240" w:lineRule="auto"/>
      </w:pPr>
      <w:r>
        <w:separator/>
      </w:r>
    </w:p>
  </w:footnote>
  <w:footnote w:type="continuationSeparator" w:id="0">
    <w:p w14:paraId="3C55AE8D" w14:textId="77777777" w:rsidR="00FC6978" w:rsidRDefault="00FC6978" w:rsidP="001231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05976"/>
    <w:multiLevelType w:val="hybridMultilevel"/>
    <w:tmpl w:val="94446D4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F13180"/>
    <w:multiLevelType w:val="hybridMultilevel"/>
    <w:tmpl w:val="5E02DFC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042947"/>
    <w:multiLevelType w:val="hybridMultilevel"/>
    <w:tmpl w:val="68804EF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6B6483"/>
    <w:multiLevelType w:val="hybridMultilevel"/>
    <w:tmpl w:val="A8CC3C4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10492D"/>
    <w:multiLevelType w:val="hybridMultilevel"/>
    <w:tmpl w:val="1E80853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1A52"/>
    <w:rsid w:val="00102B0E"/>
    <w:rsid w:val="0012311E"/>
    <w:rsid w:val="00170E4B"/>
    <w:rsid w:val="00171ADA"/>
    <w:rsid w:val="002A5A00"/>
    <w:rsid w:val="002D3A6D"/>
    <w:rsid w:val="003C7D18"/>
    <w:rsid w:val="006F54D0"/>
    <w:rsid w:val="00961A52"/>
    <w:rsid w:val="00A23D5E"/>
    <w:rsid w:val="00B33A63"/>
    <w:rsid w:val="00E245D0"/>
    <w:rsid w:val="00F11DF2"/>
    <w:rsid w:val="00FC6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B2E2B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93725"/>
    <w:pPr>
      <w:spacing w:after="120" w:line="360" w:lineRule="auto"/>
      <w:jc w:val="both"/>
    </w:pPr>
    <w:rPr>
      <w:rFonts w:ascii="Arial" w:hAnsi="Arial" w:cs="Ari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248CA"/>
    <w:pPr>
      <w:keepNext/>
      <w:keepLines/>
      <w:spacing w:before="240"/>
      <w:ind w:left="425" w:hanging="425"/>
      <w:outlineLvl w:val="0"/>
    </w:pPr>
    <w:rPr>
      <w:rFonts w:eastAsiaTheme="majorEastAsia" w:cstheme="majorBidi"/>
      <w:b/>
      <w:sz w:val="28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248CA"/>
    <w:pPr>
      <w:keepNext/>
      <w:keepLines/>
      <w:spacing w:before="120"/>
      <w:ind w:left="425" w:hanging="425"/>
      <w:outlineLvl w:val="1"/>
    </w:pPr>
    <w:rPr>
      <w:rFonts w:eastAsiaTheme="majorEastAsia" w:cstheme="majorBidi"/>
      <w:b/>
      <w:sz w:val="24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D68C4"/>
    <w:pPr>
      <w:keepNext/>
      <w:keepLines/>
      <w:spacing w:before="120"/>
      <w:outlineLvl w:val="2"/>
    </w:pPr>
    <w:rPr>
      <w:rFonts w:eastAsiaTheme="majorEastAsia" w:cstheme="majorBidi"/>
      <w:b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ABLE">
    <w:name w:val="_TABLE"/>
    <w:basedOn w:val="Normalny"/>
    <w:qFormat/>
    <w:rsid w:val="00AC7C6F"/>
    <w:pPr>
      <w:spacing w:after="0" w:line="240" w:lineRule="auto"/>
      <w:jc w:val="left"/>
    </w:pPr>
    <w:rPr>
      <w:sz w:val="18"/>
    </w:rPr>
  </w:style>
  <w:style w:type="paragraph" w:customStyle="1" w:styleId="TABLEBULLETS">
    <w:name w:val="_TABLE_BULLETS"/>
    <w:basedOn w:val="TABLE"/>
    <w:qFormat/>
    <w:rsid w:val="00F5241F"/>
    <w:pPr>
      <w:ind w:left="142" w:hanging="142"/>
    </w:pPr>
  </w:style>
  <w:style w:type="paragraph" w:customStyle="1" w:styleId="BULLETS">
    <w:name w:val="_BULLETS"/>
    <w:basedOn w:val="Normalny"/>
    <w:qFormat/>
    <w:rsid w:val="002A5A00"/>
    <w:pPr>
      <w:ind w:left="284" w:hanging="284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8248CA"/>
    <w:rPr>
      <w:rFonts w:ascii="Arial" w:eastAsiaTheme="majorEastAsia" w:hAnsi="Arial" w:cstheme="majorBidi"/>
      <w:b/>
      <w:sz w:val="28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8248CA"/>
    <w:rPr>
      <w:rFonts w:ascii="Arial" w:eastAsiaTheme="majorEastAsia" w:hAnsi="Arial" w:cstheme="majorBidi"/>
      <w:b/>
      <w:sz w:val="24"/>
      <w:szCs w:val="26"/>
    </w:rPr>
  </w:style>
  <w:style w:type="paragraph" w:styleId="Akapitzlist">
    <w:name w:val="List Paragraph"/>
    <w:basedOn w:val="Normalny"/>
    <w:uiPriority w:val="34"/>
    <w:qFormat/>
    <w:rsid w:val="008248CA"/>
    <w:pPr>
      <w:ind w:left="720"/>
      <w:contextualSpacing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E24FF8"/>
    <w:pPr>
      <w:spacing w:line="259" w:lineRule="auto"/>
      <w:ind w:left="0" w:firstLine="0"/>
      <w:outlineLvl w:val="9"/>
    </w:pPr>
    <w:rPr>
      <w:sz w:val="32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8248CA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8248CA"/>
    <w:pPr>
      <w:spacing w:after="100"/>
      <w:ind w:left="220"/>
    </w:pPr>
  </w:style>
  <w:style w:type="character" w:styleId="Hipercze">
    <w:name w:val="Hyperlink"/>
    <w:basedOn w:val="Domylnaczcionkaakapitu"/>
    <w:uiPriority w:val="99"/>
    <w:unhideWhenUsed/>
    <w:rsid w:val="008248CA"/>
    <w:rPr>
      <w:color w:val="0563C1" w:themeColor="hyperlink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7D68C4"/>
    <w:rPr>
      <w:rFonts w:ascii="Arial" w:eastAsiaTheme="majorEastAsia" w:hAnsi="Arial" w:cstheme="majorBidi"/>
      <w:b/>
      <w:sz w:val="24"/>
      <w:szCs w:val="24"/>
    </w:rPr>
  </w:style>
  <w:style w:type="paragraph" w:styleId="Spistreci3">
    <w:name w:val="toc 3"/>
    <w:basedOn w:val="Normalny"/>
    <w:next w:val="Normalny"/>
    <w:autoRedefine/>
    <w:uiPriority w:val="39"/>
    <w:unhideWhenUsed/>
    <w:rsid w:val="008248CA"/>
    <w:pPr>
      <w:spacing w:after="100"/>
      <w:ind w:left="440"/>
    </w:pPr>
  </w:style>
  <w:style w:type="paragraph" w:styleId="Nagwek">
    <w:name w:val="header"/>
    <w:basedOn w:val="Normalny"/>
    <w:link w:val="NagwekZnak"/>
    <w:uiPriority w:val="99"/>
    <w:unhideWhenUsed/>
    <w:rsid w:val="00AC7C6F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AC7C6F"/>
    <w:rPr>
      <w:rFonts w:ascii="Arial" w:hAnsi="Arial"/>
    </w:rPr>
  </w:style>
  <w:style w:type="paragraph" w:styleId="Stopka">
    <w:name w:val="footer"/>
    <w:basedOn w:val="Normalny"/>
    <w:link w:val="StopkaZnak"/>
    <w:uiPriority w:val="99"/>
    <w:unhideWhenUsed/>
    <w:rsid w:val="00AC7C6F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AC7C6F"/>
    <w:rPr>
      <w:rFonts w:ascii="Arial" w:hAnsi="Aria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C7C6F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1231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yrektywaEU.naruszenia@davita.p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1028</Words>
  <Characters>6172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2022-03-21T20:00:00Z</dcterms:created>
  <dcterms:modified xsi:type="dcterms:W3CDTF">2022-03-31T09:30:00Z</dcterms:modified>
</cp:coreProperties>
</file>